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9A" w:rsidRDefault="0079729A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9729A" w:rsidRDefault="008B018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Umowa powierzenia przetwarzania danych osobowych</w:t>
      </w:r>
    </w:p>
    <w:p w:rsidR="0079729A" w:rsidRDefault="0079729A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9729A" w:rsidRDefault="008B018A">
      <w:pPr>
        <w:spacing w:before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zawarta dnia ................................... w Warszawie pomiędzy:</w:t>
      </w:r>
      <w:bookmarkStart w:id="0" w:name="_GoBack"/>
      <w:bookmarkEnd w:id="0"/>
    </w:p>
    <w:p w:rsidR="0079729A" w:rsidRDefault="008B018A">
      <w:pPr>
        <w:spacing w:before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Instytutem Badań Edukacyjnych z siedzibą w Warszawie </w:t>
      </w:r>
      <w:r>
        <w:rPr>
          <w:rFonts w:ascii="Calibri" w:eastAsia="Calibri" w:hAnsi="Calibri" w:cs="Calibri"/>
          <w:sz w:val="20"/>
          <w:szCs w:val="20"/>
        </w:rPr>
        <w:t>przy ul. Górczewskiej 8, 01-180 Warszawa, wpisanym do Rejestru Przedsiębiorców Krajowego Rejestru Sądowego prowadzonego przez Sąd Rejonowy dla m.st. Warszawy, XI</w:t>
      </w:r>
      <w:r w:rsidR="00D57C1E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I Wydział Gospodarczy KRS, pod numerem 0000113990, posługującym się numerami NIP 525-000-86-95 oraz REGON 000178235</w:t>
      </w:r>
    </w:p>
    <w:p w:rsidR="0079729A" w:rsidRDefault="008B018A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reprezentowanym przez: </w:t>
      </w:r>
    </w:p>
    <w:p w:rsidR="0079729A" w:rsidRDefault="008B018A">
      <w:pPr>
        <w:spacing w:before="120" w:after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...........................................-..................................................</w:t>
      </w:r>
    </w:p>
    <w:p w:rsidR="0079729A" w:rsidRDefault="008B018A">
      <w:pPr>
        <w:spacing w:before="120" w:after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zwany dalej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„Administratorem” lub “IBE”</w:t>
      </w:r>
    </w:p>
    <w:p w:rsidR="0079729A" w:rsidRDefault="008B018A">
      <w:pPr>
        <w:spacing w:before="120"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</w:p>
    <w:p w:rsidR="0079729A" w:rsidRDefault="00D57C1E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..............................................................</w:t>
      </w:r>
    </w:p>
    <w:p w:rsidR="0079729A" w:rsidRDefault="00D57C1E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</w:t>
      </w:r>
    </w:p>
    <w:p w:rsidR="0079729A" w:rsidRDefault="00D57C1E">
      <w:pPr>
        <w:spacing w:line="276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zwany</w:t>
      </w:r>
      <w:r w:rsidR="008B018A">
        <w:rPr>
          <w:rFonts w:ascii="Calibri" w:eastAsia="Calibri" w:hAnsi="Calibri" w:cs="Calibri"/>
          <w:sz w:val="20"/>
          <w:szCs w:val="20"/>
        </w:rPr>
        <w:t xml:space="preserve"> dalej </w:t>
      </w:r>
      <w:r w:rsidR="008B018A">
        <w:rPr>
          <w:rFonts w:ascii="Calibri" w:eastAsia="Calibri" w:hAnsi="Calibri" w:cs="Calibri"/>
          <w:b/>
          <w:sz w:val="20"/>
          <w:szCs w:val="20"/>
        </w:rPr>
        <w:t>„Przetwarzającym”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zwani łącznie w dalszej części umowy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„Stronami”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 xml:space="preserve">Mając na uwadze, że </w:t>
      </w:r>
      <w:r>
        <w:rPr>
          <w:rFonts w:ascii="Calibri" w:eastAsia="Calibri" w:hAnsi="Calibri" w:cs="Calibri"/>
          <w:color w:val="000000"/>
          <w:sz w:val="20"/>
          <w:szCs w:val="20"/>
          <w:highlight w:val="white"/>
        </w:rPr>
        <w:t>Strony zawarły Umowę (zw</w:t>
      </w:r>
      <w:r>
        <w:rPr>
          <w:rFonts w:ascii="Calibri" w:eastAsia="Calibri" w:hAnsi="Calibri" w:cs="Calibri"/>
          <w:color w:val="000000"/>
          <w:sz w:val="20"/>
          <w:szCs w:val="20"/>
        </w:rPr>
        <w:t>aną dalej: 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Umową Główną</w:t>
      </w:r>
      <w:r>
        <w:rPr>
          <w:rFonts w:ascii="Calibri" w:eastAsia="Calibri" w:hAnsi="Calibri" w:cs="Calibri"/>
          <w:color w:val="000000"/>
          <w:sz w:val="20"/>
          <w:szCs w:val="20"/>
        </w:rPr>
        <w:t>”), której realizacja wymaga przetwarzania przez Przetwarzającego danych osobowych powierzonych przez Administratora, Strony zawierają niniejszą umowę powierzenia przetwarzania danych (zwaną dalej: 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Umową</w:t>
      </w:r>
      <w:r>
        <w:rPr>
          <w:rFonts w:ascii="Calibri" w:eastAsia="Calibri" w:hAnsi="Calibri" w:cs="Calibri"/>
          <w:color w:val="000000"/>
          <w:sz w:val="20"/>
          <w:szCs w:val="20"/>
        </w:rPr>
        <w:t>” lub „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Umową powierzenia</w:t>
      </w:r>
      <w:r>
        <w:rPr>
          <w:rFonts w:ascii="Calibri" w:eastAsia="Calibri" w:hAnsi="Calibri" w:cs="Calibri"/>
          <w:color w:val="000000"/>
          <w:sz w:val="20"/>
          <w:szCs w:val="20"/>
        </w:rPr>
        <w:t>”) o następującej treści:</w:t>
      </w: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o4syt489itce" w:colFirst="0" w:colLast="0"/>
      <w:bookmarkEnd w:id="2"/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1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tabs>
          <w:tab w:val="center" w:pos="4602"/>
          <w:tab w:val="left" w:pos="5520"/>
        </w:tabs>
        <w:ind w:left="3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Przedmiot, charakter, cel i zakres przetwarzania danych osobowych</w:t>
      </w:r>
    </w:p>
    <w:p w:rsidR="0079729A" w:rsidRDefault="008B0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02"/>
          <w:tab w:val="left" w:pos="5520"/>
        </w:tabs>
        <w:ind w:left="360" w:hanging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Administrator powierza i poleca Przetwarzającemu, w trybie art. 28 RODO, przetwarzanie danych osobowych na zasadach, w zakresie i w celu wskazanym w niniejszej Umowie</w:t>
      </w:r>
      <w:r w:rsidR="00D57C1E">
        <w:rPr>
          <w:rFonts w:ascii="Calibri" w:eastAsia="Calibri" w:hAnsi="Calibri" w:cs="Calibri"/>
          <w:color w:val="000000"/>
          <w:sz w:val="20"/>
          <w:szCs w:val="20"/>
        </w:rPr>
        <w:t xml:space="preserve"> oraz Umowie Głownej</w:t>
      </w:r>
      <w:r>
        <w:rPr>
          <w:rFonts w:ascii="Calibri" w:eastAsia="Calibri" w:hAnsi="Calibri" w:cs="Calibri"/>
          <w:color w:val="000000"/>
          <w:sz w:val="20"/>
          <w:szCs w:val="20"/>
        </w:rPr>
        <w:t>, a Przetwarzający zobowiązuje się do przetwarzania powierzonych mu danych osobowych zgodnie z RODO i innymi przepisami prawa powszechnie obowiązującego, które chronią prawa lub wolności osób, których dane dotyczą oraz zgodnie z Umową.</w:t>
      </w:r>
    </w:p>
    <w:p w:rsidR="0079729A" w:rsidRDefault="008B01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02"/>
          <w:tab w:val="left" w:pos="552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color w:val="000000"/>
          <w:sz w:val="20"/>
          <w:szCs w:val="20"/>
        </w:rPr>
        <w:t>Powierzone dane osobowe będą przetwarzane przez Przetwarzającego wyłącznie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 xml:space="preserve"> poprzez wględ do danych,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 </w:t>
      </w:r>
      <w:r w:rsidR="0031664E">
        <w:rPr>
          <w:rFonts w:ascii="Calibri" w:eastAsia="Calibri" w:hAnsi="Calibri" w:cs="Calibri"/>
          <w:color w:val="000000"/>
          <w:sz w:val="20"/>
          <w:szCs w:val="20"/>
        </w:rPr>
        <w:t xml:space="preserve">związku z realizacją przedmiotu Umowy </w:t>
      </w:r>
      <w:r>
        <w:rPr>
          <w:rFonts w:ascii="Calibri" w:eastAsia="Calibri" w:hAnsi="Calibri" w:cs="Calibri"/>
          <w:color w:val="000000"/>
          <w:sz w:val="20"/>
          <w:szCs w:val="20"/>
        </w:rPr>
        <w:t>Głównej</w:t>
      </w:r>
      <w:r w:rsidR="0031664E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79729A" w:rsidRPr="00AB11ED" w:rsidRDefault="008B018A" w:rsidP="00AB11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02"/>
          <w:tab w:val="left" w:pos="552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Zakres danych osobowych powierzonych do przetwarzania obejmuje da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>ne zwykłe zgromadzone w narzędziu informatycznym (narzędzie obsługujące</w:t>
      </w:r>
      <w:r w:rsidR="00AB11ED" w:rsidRPr="00AB11ED">
        <w:rPr>
          <w:rFonts w:ascii="Calibri" w:eastAsia="Calibri" w:hAnsi="Calibri" w:cs="Calibri"/>
          <w:color w:val="000000"/>
          <w:sz w:val="20"/>
          <w:szCs w:val="20"/>
        </w:rPr>
        <w:t xml:space="preserve"> opisy syntetycznych charakterystyk kwalifikacji pełnych właściwych dla szkolnictwa wyższego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>)</w:t>
      </w:r>
      <w:r w:rsidRPr="00AB11ED"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tj.: 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>dane użytkowników narzędzia w zakresie: imię, nazwisko, adres e-mail.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§2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4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Sposób wykonania umowy w zakresie przetwarzania danych osobowych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4" w:name="_heading=h.1fob9te" w:colFirst="0" w:colLast="0"/>
      <w:bookmarkEnd w:id="4"/>
      <w:r>
        <w:rPr>
          <w:rFonts w:ascii="Calibri" w:eastAsia="Calibri" w:hAnsi="Calibri" w:cs="Calibri"/>
          <w:sz w:val="20"/>
          <w:szCs w:val="20"/>
        </w:rPr>
        <w:t xml:space="preserve">Przetwarzający nie ustala celów i sposobów przetwarzania powierzonych danych osobowych. 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Przetwarzanie danych odbywa się zgodnie z instrukcjami Administratora. Jeżeli zdaniem Przetwarzającego instrukcja taka stanowi naruszenie RODO lub jakichkolwiek innych przepisów mających wpływ na ochronę danych, informuje o tym natychmiast Administratora danych.</w:t>
      </w:r>
    </w:p>
    <w:p w:rsidR="0079729A" w:rsidRDefault="008B018A" w:rsidP="00AB11ED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5" w:name="_heading=h.3znysh7" w:colFirst="0" w:colLast="0"/>
      <w:bookmarkEnd w:id="5"/>
      <w:r>
        <w:rPr>
          <w:rFonts w:ascii="Calibri" w:eastAsia="Calibri" w:hAnsi="Calibri" w:cs="Calibri"/>
          <w:sz w:val="20"/>
          <w:szCs w:val="20"/>
        </w:rPr>
        <w:t>Przetwarzający zobowiązuje się, przy przetwarzaniu powierzonych danych osobowych do ich zabezpieczenia poprzez stosowanie odpowiednich środków technicznych i organizacyjnych zapewniających adekwatny stopień bezpieczeństwa odpowiadający ryzyku związanemu z przetwarzaniem danych osobowych, w szczególności te,</w:t>
      </w:r>
      <w:r w:rsidR="00AB11ED">
        <w:rPr>
          <w:rFonts w:ascii="Calibri" w:eastAsia="Calibri" w:hAnsi="Calibri" w:cs="Calibri"/>
          <w:sz w:val="20"/>
          <w:szCs w:val="20"/>
        </w:rPr>
        <w:t xml:space="preserve"> o których mowa w art. 32 RODO.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Przetwarzający oświadcza i gwarantuje, iż dysponuje środkami, doświadczeniem, wiedzą i wykwalifikowanym personelem, co umożliwia mu prawidłowe wykonanie niniejszej Umowy, w tym zapewnia wystarczające gwarancje wdrożenia odpowiednich środków technicznych i organizacyjnych, by przetwarzanie spełniało wymogi RODO i chroniło prawa osób, których dane dotyczą.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Do przetwarzania danych osobowych mogą być dopuszczone wyłącznie osoby upoważnione przez Przetwarzającego, posiadające imienne upoważnienie do przetwarzania danych osobowych, które zostały zobowiązane przez Przetwarzającego do zachowania w tajemnicy danych osobowych oraz informacji o stosowanych sposobach ich zabezpieczenia, także po ustaniu stosunku prawnego łączącego osobę upoważnioną z Przetwarzającym. </w:t>
      </w:r>
      <w:r>
        <w:rPr>
          <w:rFonts w:ascii="Calibri" w:eastAsia="Calibri" w:hAnsi="Calibri" w:cs="Calibri"/>
          <w:sz w:val="20"/>
          <w:szCs w:val="20"/>
        </w:rPr>
        <w:lastRenderedPageBreak/>
        <w:t>Przetwarzający zapewnia ponadto, że osoby o których mowa w niniejszym ustępie, będą przetwarzały dane osobowe zgodnie z zasadą wiedzy koniecznej.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Przetwarzający ponosi odpowiedzialność, tak wobec osób trzecich, jak i wobec Administratora, za szkody powstałe w związku z nieprzestrzeganiem RODO, przepisów prawa powszechnie obowiązującego dotyczącego ochrony danych osobowych oraz za przetwarzanie powierzonych do przetwarzania danych osobowych niezgodnie z Umową.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 naruszenie przez pracowników, zleceniobiorców, współpracowników lub podwykonawców warunków Umowy Przetwarzający odpowiada jak za działania własne. </w:t>
      </w:r>
    </w:p>
    <w:p w:rsidR="0079729A" w:rsidRDefault="008B018A">
      <w:pPr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Przetwarzający zobowiązuje się:</w:t>
      </w:r>
    </w:p>
    <w:p w:rsidR="0079729A" w:rsidRDefault="008B0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prowadzić rejestr wszystkich kategorii czynności przetwarzania, o którym mowa w art. 30 ust. 2 RODO;</w:t>
      </w:r>
    </w:p>
    <w:p w:rsidR="0079729A" w:rsidRDefault="008B0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prowadzić ewidencję osób upoważnionych do przetwarzania danych osobowych;</w:t>
      </w:r>
    </w:p>
    <w:p w:rsidR="0079729A" w:rsidRDefault="008B0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pomagać Administratorowi w wywiązywaniu się z obowiązków określonych w art. 32-36 RODO;</w:t>
      </w:r>
    </w:p>
    <w:p w:rsidR="0079729A" w:rsidRDefault="008B0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udzielić Administratorowi, na każde żądanie, informacji na temat przetwarzania danych osobowych, o których mowa w Umowie, a w szczególności do niezwłocznego przekazywania informacji o każdym przypadku naruszenia przez niego lub osoby przez niego upoważnione do przetwarzania danych osobowych, obowiązków dotyczących ochrony danych osobowych;</w:t>
      </w:r>
    </w:p>
    <w:p w:rsidR="0079729A" w:rsidRDefault="008B018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niezwłocznie poinformować Administratora o jakimkolwiek postępowaniu, w szczególności administracyjnym lub sądowym, dotyczącym przetwarzania powierzonych danych, o jakiejkolwiek decyzji administracyjnej lub orzeczeniu dotyczącym przetwarzania tych danych, skierowanej do Przetwarzającego, a także o wszelkich kontrolach i inspekcjach dotyczących przetwarzania powierzonych danych osobowych, w szczególności prowadzonych przez organ nadzorczy.</w:t>
      </w:r>
    </w:p>
    <w:p w:rsidR="0079729A" w:rsidRDefault="008B018A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§ 3</w:t>
      </w:r>
    </w:p>
    <w:p w:rsidR="0079729A" w:rsidRDefault="008B018A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Zgłoszenie naruszenia ochrony danych osobowych</w:t>
      </w:r>
    </w:p>
    <w:p w:rsidR="0079729A" w:rsidRDefault="008B018A">
      <w:pPr>
        <w:numPr>
          <w:ilvl w:val="0"/>
          <w:numId w:val="5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6" w:name="_heading=h.2et92p0" w:colFirst="0" w:colLast="0"/>
      <w:bookmarkEnd w:id="6"/>
      <w:r>
        <w:rPr>
          <w:rFonts w:ascii="Calibri" w:eastAsia="Calibri" w:hAnsi="Calibri" w:cs="Calibri"/>
          <w:sz w:val="20"/>
          <w:szCs w:val="20"/>
        </w:rPr>
        <w:t>W przypadku stwierdzenia jakiegokolwiek naruszenia ochrony danych osobowych Przetwarzający lub podwykonawca Przetwarzającego zgłasza je Administratorowi bez zbędnej zwłoki, nie później jednak niż w ciągu 24 godzin. Zgłoszenie powinno oprócz elementów określonych w art. 33 ust. 3 RODO zawierać informacje umożliwiające Administratorowi określenie czy naruszenie skutkuje wysokim ryzykiem naruszenia praw lub wolności osób fizycznych. Jeżeli informacji, o których mowa w art. 33 ust. 3 RODO nie da się udzielić w tym samym czasie, Przetwarzający może je udzielać sukcesywnie bez zbędnej zwłoki.</w:t>
      </w:r>
    </w:p>
    <w:p w:rsidR="0079729A" w:rsidRPr="00D57C1E" w:rsidRDefault="008B018A" w:rsidP="00AB11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Przetwarzający zobowiązuje się do przeprowadzenia analizy skutków naruszenia praw i wolności podmiotów danych i przekazania wyników tej analizy do Administratora, w terminie 36 godzin od wykrycia zdarzenia.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4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Prawo kontroli</w:t>
      </w:r>
    </w:p>
    <w:p w:rsidR="0079729A" w:rsidRDefault="008B01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Zgodnie z art. 28 ust. 3 lit. h) RODO Administrator danych ma prawo kontroli, mającej na celu weryfikację, czy Przetwarzający spełnia obowiązki wynikające z niniejszej Umowy.</w:t>
      </w:r>
    </w:p>
    <w:p w:rsidR="0079729A" w:rsidRDefault="008B018A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bookmarkStart w:id="7" w:name="_heading=h.tyjcwt" w:colFirst="0" w:colLast="0"/>
      <w:bookmarkEnd w:id="7"/>
      <w:r>
        <w:rPr>
          <w:rFonts w:ascii="Calibri" w:eastAsia="Calibri" w:hAnsi="Calibri" w:cs="Calibri"/>
          <w:sz w:val="20"/>
          <w:szCs w:val="20"/>
        </w:rPr>
        <w:t>Przetwarzający umożliwi Administratorowi lub podmiotom przez Administratora upoważnionym, w miejscach, w których są przetwarzane powierzone dane osobowe, dokonanie kontroli zgodności przetwarzania powierzonych danych osobowych z RODO, przepisami prawa powszechnie obowiązującego dotyczącymi ochrony danych osobowych oraz z Umową. Zawiadomienie o zamiarze przeprowadzenia kontroli powinno być przekazane podmiotowi kontrolowanemu co najmniej 5 dni roboczych przed rozpoczęciem kontroli.</w:t>
      </w:r>
    </w:p>
    <w:p w:rsidR="0079729A" w:rsidRDefault="008B018A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Kontrolerzy Administratora lub podmiotów przez Administratora upoważnionych, mają w szczególności prawo:</w:t>
      </w:r>
    </w:p>
    <w:p w:rsidR="0079729A" w:rsidRDefault="008B018A">
      <w:pPr>
        <w:numPr>
          <w:ilvl w:val="0"/>
          <w:numId w:val="1"/>
        </w:numPr>
        <w:tabs>
          <w:tab w:val="left" w:pos="357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wstępu, w godzinach pracy Przetwarzającego do pomieszczeń, w których znajdują się zasoby uczestniczące w operacjach przetwarzania powierzonych danych;</w:t>
      </w:r>
    </w:p>
    <w:p w:rsidR="0079729A" w:rsidRDefault="008B018A">
      <w:pPr>
        <w:numPr>
          <w:ilvl w:val="0"/>
          <w:numId w:val="1"/>
        </w:numPr>
        <w:tabs>
          <w:tab w:val="left" w:pos="357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żądać złożenia pisemnych lub ustnych wyjaśnień przez osoby upoważnione do przetwarzania danych osobowych, przedstawiciela Przetwarzającego oraz pracowników w zakresie niezbędnym do ustalenia stanu faktycznego;</w:t>
      </w:r>
    </w:p>
    <w:p w:rsidR="0079729A" w:rsidRDefault="008B018A">
      <w:pPr>
        <w:numPr>
          <w:ilvl w:val="0"/>
          <w:numId w:val="1"/>
        </w:numPr>
        <w:tabs>
          <w:tab w:val="left" w:pos="357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wglądu do wszelkich dokumentów i wszelkich danych mających bezpośredni związek z przedmiotem kontroli lub audytu oraz sporządzania ich kopii; </w:t>
      </w:r>
    </w:p>
    <w:p w:rsidR="0079729A" w:rsidRDefault="008B018A">
      <w:pPr>
        <w:numPr>
          <w:ilvl w:val="0"/>
          <w:numId w:val="1"/>
        </w:numPr>
        <w:tabs>
          <w:tab w:val="left" w:pos="357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przeprowadzania oględzin urządzeń, nośników oraz systemu informatycznego służącego do przetwarzania danych osobowych.</w:t>
      </w:r>
    </w:p>
    <w:p w:rsidR="0079729A" w:rsidRDefault="008B018A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Przetwarzający zobowiązuje się zastosować zalecenia dotyczące poprawy jakości zabezpieczenia danych osobowych oraz sposobu ich przetwarzania sporządzone w wyniku kontroli.</w:t>
      </w:r>
    </w:p>
    <w:p w:rsidR="0079729A" w:rsidRDefault="008B018A">
      <w:pPr>
        <w:numPr>
          <w:ilvl w:val="0"/>
          <w:numId w:val="7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Powyżej określone zasady kontroli Przetwarzającego mają zastosowanie do przeprowadzanych przez Administratora kontroli podwykonawców Przetwarzającego.</w:t>
      </w:r>
    </w:p>
    <w:p w:rsidR="0079729A" w:rsidRDefault="0079729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5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8" w:name="_heading=h.3dy6vkm" w:colFirst="0" w:colLast="0"/>
      <w:bookmarkEnd w:id="8"/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Transfer i dalsze powierzenie przetwarzania danych</w:t>
      </w:r>
    </w:p>
    <w:p w:rsidR="0079729A" w:rsidRDefault="008B0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Administrator wyraża zgodę na powierzenie danych osobowych objętych niniejszą Umową do dalszego przetwarzania przez podwykonawców Przetwarzającego, w celu wykonania niniejszej Umowy, przy czym podwykonawcy Przetwarzającego powinni spełniać te same gwarancje i obowiązki, jakie zostały nałożone na Przetwarzającego niniejszą Umową. Lista takich podmiotów (podprocesorów) stanowi załącznik nr 2 do Umowy.</w:t>
      </w:r>
    </w:p>
    <w:p w:rsidR="0079729A" w:rsidRDefault="008B0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 przypadku zmiany lub dodania innych podwykonawców biorących udział w przetwarzaniu danych powierzonych przez Administratora Przetwarzający informuje o zamierzonych zmianach, dając Administratorowi możliwość wyrażenia sprzeciwu wobec takich zmian w terminie 7 dni roboczych od przekazania informacji o zamierzonych zmianach.</w:t>
      </w:r>
    </w:p>
    <w:p w:rsidR="0079729A" w:rsidRDefault="008B0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9" w:name="_heading=h.1t3h5sf" w:colFirst="0" w:colLast="0"/>
      <w:bookmarkEnd w:id="9"/>
      <w:r>
        <w:rPr>
          <w:rFonts w:ascii="Calibri" w:eastAsia="Calibri" w:hAnsi="Calibri" w:cs="Calibri"/>
          <w:color w:val="000000"/>
          <w:sz w:val="20"/>
          <w:szCs w:val="20"/>
        </w:rPr>
        <w:t>Przekazanie powierzonych danych do państwa trzeciego może nastąpić jedynie na udokumentowane polecenie Administratora, chyba że taki obowiązek nakłada na Przetwarzającego prawo Unii Europejskiej lub prawo państwa członkowskiego, któremu podlega Przetwarzający. W takim przypadku przed rozpoczęciem przetwarzania Przetwarzający informuje Administratora danych o tym obowiązku prawnym, o ile prawo to nie zabrania udzielania takiej informacji z uwagi na ważny interes publiczny.</w:t>
      </w:r>
    </w:p>
    <w:p w:rsidR="0079729A" w:rsidRDefault="008B01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Przetwarzający ponosi pełną odpowiedzialność wobec Administratora za niewywiązanie się z obowiązków spoczywających na podwykonawcy, wynikających z niniejszej Umowy.</w:t>
      </w: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717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§ 6</w:t>
      </w:r>
    </w:p>
    <w:p w:rsidR="0079729A" w:rsidRDefault="008B018A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Czas trwania umowy</w:t>
      </w:r>
    </w:p>
    <w:p w:rsidR="0079729A" w:rsidRDefault="008B018A">
      <w:pPr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Niniejsza Umowa obowiązuje 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>w okresie obowiązywania Umowy głownej.</w:t>
      </w:r>
    </w:p>
    <w:p w:rsidR="0079729A" w:rsidRDefault="008B018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Administrator może rozwiązać niniejszą umowę ze skutkiem natychmiastowym, gdy Przetwarzający: </w:t>
      </w:r>
    </w:p>
    <w:p w:rsidR="0079729A" w:rsidRDefault="008B01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10" w:name="_heading=h.2s8eyo1" w:colFirst="0" w:colLast="0"/>
      <w:bookmarkEnd w:id="10"/>
      <w:r>
        <w:rPr>
          <w:rFonts w:ascii="Calibri" w:eastAsia="Calibri" w:hAnsi="Calibri" w:cs="Calibri"/>
          <w:color w:val="000000"/>
          <w:sz w:val="20"/>
          <w:szCs w:val="20"/>
        </w:rPr>
        <w:t>pomimo zobowiązania do usunięcia uchybień podczas kontroli nie zaprzestaje niewłaściwego przetwarzania powierzonych danych osobowych w wyznaczonym terminie;</w:t>
      </w:r>
    </w:p>
    <w:p w:rsidR="0079729A" w:rsidRDefault="008B01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przetwarza dane osobowe w sposób niezgodny z Umową lub przepisami prawa;</w:t>
      </w:r>
    </w:p>
    <w:p w:rsidR="0079729A" w:rsidRDefault="008B01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powierzył przetwarzanie danych osobowych innemu podmiotowi bez zgody Administratora.</w:t>
      </w:r>
    </w:p>
    <w:p w:rsidR="0079729A" w:rsidRPr="00AB11ED" w:rsidRDefault="008B018A" w:rsidP="00AB11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Przetwarzający po zakończeniu realizacji Umowy niezwłocznie </w:t>
      </w:r>
      <w:r w:rsidR="00D57C1E">
        <w:rPr>
          <w:rFonts w:ascii="Calibri" w:eastAsia="Calibri" w:hAnsi="Calibri" w:cs="Calibri"/>
          <w:color w:val="000000"/>
          <w:sz w:val="20"/>
          <w:szCs w:val="20"/>
        </w:rPr>
        <w:t>us</w:t>
      </w:r>
      <w:r w:rsidR="00AB11ED">
        <w:rPr>
          <w:rFonts w:ascii="Calibri" w:eastAsia="Calibri" w:hAnsi="Calibri" w:cs="Calibri"/>
          <w:color w:val="000000"/>
          <w:sz w:val="20"/>
          <w:szCs w:val="20"/>
        </w:rPr>
        <w:t>u</w:t>
      </w:r>
      <w:r w:rsidR="00D57C1E">
        <w:rPr>
          <w:rFonts w:ascii="Calibri" w:eastAsia="Calibri" w:hAnsi="Calibri" w:cs="Calibri"/>
          <w:color w:val="000000"/>
          <w:sz w:val="20"/>
          <w:szCs w:val="20"/>
        </w:rPr>
        <w:t>wa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wszelkie dane osobowe oraz ich istniejące kopie, chyba że prawo Unii lub prawo państwa członkowskiego lub Umowa Główna nakazują przechowywanie danych osobowych. 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11" w:name="_heading=h.3rdcrjn" w:colFirst="0" w:colLast="0"/>
      <w:bookmarkEnd w:id="11"/>
      <w:r>
        <w:rPr>
          <w:rFonts w:ascii="Calibri" w:eastAsia="Calibri" w:hAnsi="Calibri" w:cs="Calibri"/>
          <w:b/>
          <w:color w:val="000000"/>
          <w:sz w:val="20"/>
          <w:szCs w:val="20"/>
        </w:rPr>
        <w:t>§ 7</w:t>
      </w:r>
    </w:p>
    <w:p w:rsidR="0079729A" w:rsidRDefault="008B018A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Postanowienia końcowe</w:t>
      </w:r>
    </w:p>
    <w:p w:rsidR="0079729A" w:rsidRDefault="008B01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Umowę podpisano w dwóch jednobrzmiących egzemplarzach.</w:t>
      </w:r>
    </w:p>
    <w:p w:rsidR="0079729A" w:rsidRDefault="008B018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Sądem właściwym dla rozpatrzenia sporów wynikających z niniejszej Umowy będzie sąd właściwy Administratora.</w:t>
      </w: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79729A" w:rsidRDefault="008B018A">
      <w:pPr>
        <w:ind w:left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……………………………….</w:t>
      </w:r>
    </w:p>
    <w:p w:rsidR="0079729A" w:rsidRDefault="008B018A">
      <w:p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Administrator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Przetwarzający </w:t>
      </w:r>
    </w:p>
    <w:p w:rsidR="0079729A" w:rsidRDefault="0079729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9729A" w:rsidRDefault="0079729A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79729A" w:rsidRDefault="008B018A">
      <w:p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Załączniki:</w:t>
      </w:r>
    </w:p>
    <w:p w:rsidR="0079729A" w:rsidRDefault="008B018A" w:rsidP="0031664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 w:cs="Calibri"/>
          <w:color w:val="000000"/>
          <w:sz w:val="20"/>
          <w:szCs w:val="20"/>
        </w:rPr>
        <w:sectPr w:rsidR="0079729A">
          <w:headerReference w:type="default" r:id="rId8"/>
          <w:footerReference w:type="default" r:id="rId9"/>
          <w:pgSz w:w="11906" w:h="16838"/>
          <w:pgMar w:top="1440" w:right="1080" w:bottom="1440" w:left="1080" w:header="0" w:footer="397" w:gutter="0"/>
          <w:pgNumType w:start="1"/>
          <w:cols w:space="708"/>
        </w:sectPr>
      </w:pPr>
      <w:r>
        <w:rPr>
          <w:rFonts w:ascii="Calibri" w:eastAsia="Calibri" w:hAnsi="Calibri" w:cs="Calibri"/>
          <w:sz w:val="20"/>
          <w:szCs w:val="20"/>
        </w:rPr>
        <w:t>Załącznik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nr 1 -  Wykaz podwykonawców Przetwarzającego (podprocesorów)</w:t>
      </w:r>
    </w:p>
    <w:p w:rsidR="0079729A" w:rsidRDefault="008B018A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Załącznik nr 1  –  Wykaz podwykonawców Przetwarzającego (podprocesorów)</w:t>
      </w:r>
    </w:p>
    <w:p w:rsidR="0079729A" w:rsidRDefault="0079729A">
      <w:pPr>
        <w:rPr>
          <w:rFonts w:ascii="Calibri" w:eastAsia="Calibri" w:hAnsi="Calibri" w:cs="Calibri"/>
          <w:b/>
          <w:sz w:val="20"/>
          <w:szCs w:val="20"/>
        </w:rPr>
      </w:pPr>
    </w:p>
    <w:p w:rsidR="0079729A" w:rsidRDefault="0079729A">
      <w:pPr>
        <w:rPr>
          <w:rFonts w:ascii="Calibri" w:eastAsia="Calibri" w:hAnsi="Calibri" w:cs="Calibri"/>
          <w:b/>
          <w:sz w:val="20"/>
          <w:szCs w:val="20"/>
        </w:rPr>
      </w:pPr>
    </w:p>
    <w:p w:rsidR="0079729A" w:rsidRDefault="008B018A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16"/>
          <w:szCs w:val="16"/>
        </w:rPr>
        <w:t>LISTA PODPROCESORÓW PRZETWARZAJĄCYCH DANE OSOBOWE</w:t>
      </w:r>
    </w:p>
    <w:p w:rsidR="0079729A" w:rsidRDefault="0079729A">
      <w:pPr>
        <w:rPr>
          <w:rFonts w:ascii="Calibri" w:eastAsia="Calibri" w:hAnsi="Calibri" w:cs="Calibri"/>
          <w:b/>
          <w:sz w:val="20"/>
          <w:szCs w:val="20"/>
        </w:rPr>
      </w:pPr>
    </w:p>
    <w:p w:rsidR="0079729A" w:rsidRDefault="0079729A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806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0"/>
        <w:gridCol w:w="2562"/>
        <w:gridCol w:w="2100"/>
        <w:gridCol w:w="2732"/>
      </w:tblGrid>
      <w:tr w:rsidR="0079729A">
        <w:tc>
          <w:tcPr>
            <w:tcW w:w="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8B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6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8B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podmiotu, adres, nip, dane kontaktowe</w:t>
            </w:r>
          </w:p>
        </w:tc>
        <w:tc>
          <w:tcPr>
            <w:tcW w:w="21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8B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Zakres powierzonych danych</w:t>
            </w:r>
          </w:p>
        </w:tc>
        <w:tc>
          <w:tcPr>
            <w:tcW w:w="273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8B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Cel przetwarzania/Usługa</w:t>
            </w:r>
          </w:p>
        </w:tc>
      </w:tr>
      <w:tr w:rsidR="0079729A">
        <w:tc>
          <w:tcPr>
            <w:tcW w:w="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8B0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79729A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79729A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29A" w:rsidRDefault="0079729A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664E">
        <w:tc>
          <w:tcPr>
            <w:tcW w:w="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64E" w:rsidRDefault="00316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64E" w:rsidRDefault="0031664E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64E" w:rsidRDefault="0031664E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64E" w:rsidRDefault="0031664E">
            <w:pPr>
              <w:widowControl w:val="0"/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9729A" w:rsidRDefault="0079729A">
      <w:pPr>
        <w:rPr>
          <w:rFonts w:ascii="Calibri" w:eastAsia="Calibri" w:hAnsi="Calibri" w:cs="Calibri"/>
          <w:b/>
          <w:sz w:val="20"/>
          <w:szCs w:val="20"/>
        </w:rPr>
      </w:pPr>
    </w:p>
    <w:p w:rsidR="0079729A" w:rsidRDefault="0079729A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9729A" w:rsidRDefault="0079729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0"/>
          <w:szCs w:val="20"/>
        </w:rPr>
      </w:pPr>
    </w:p>
    <w:sectPr w:rsidR="0079729A">
      <w:pgSz w:w="11906" w:h="16838"/>
      <w:pgMar w:top="1440" w:right="1080" w:bottom="1440" w:left="1080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E8" w:rsidRDefault="00FD0DE8">
      <w:r>
        <w:separator/>
      </w:r>
    </w:p>
  </w:endnote>
  <w:endnote w:type="continuationSeparator" w:id="0">
    <w:p w:rsidR="00FD0DE8" w:rsidRDefault="00FD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9A" w:rsidRDefault="008B018A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color w:val="000000"/>
        <w:sz w:val="16"/>
        <w:szCs w:val="16"/>
      </w:rPr>
      <w:t>instytut badawczy</w:t>
    </w:r>
    <w:r>
      <w:rPr>
        <w:rFonts w:ascii="Arial" w:eastAsia="Arial" w:hAnsi="Arial" w:cs="Arial"/>
        <w:color w:val="000000"/>
        <w:sz w:val="16"/>
        <w:szCs w:val="16"/>
      </w:rPr>
      <w:br/>
    </w:r>
    <w:r>
      <w:rPr>
        <w:rFonts w:ascii="Arial" w:eastAsia="Arial" w:hAnsi="Arial" w:cs="Arial"/>
        <w:sz w:val="16"/>
        <w:szCs w:val="16"/>
      </w:rPr>
      <w:t xml:space="preserve">ul. Górczewska 8, 01-180 Warszawa | tel.: +48 22 241 71 70 | sekretariat@ibe.edu.pl | </w:t>
    </w:r>
    <w:r>
      <w:rPr>
        <w:rFonts w:ascii="Arial" w:eastAsia="Arial" w:hAnsi="Arial" w:cs="Arial"/>
        <w:color w:val="00A2E3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  <w:p w:rsidR="0079729A" w:rsidRDefault="008B01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Strona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E52C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z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2E52C8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  <w:p w:rsidR="0079729A" w:rsidRDefault="00797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E8" w:rsidRDefault="00FD0DE8">
      <w:r>
        <w:separator/>
      </w:r>
    </w:p>
  </w:footnote>
  <w:footnote w:type="continuationSeparator" w:id="0">
    <w:p w:rsidR="00FD0DE8" w:rsidRDefault="00FD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9A" w:rsidRDefault="002E52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3CDBCA" wp14:editId="0FC8BCC3">
          <wp:simplePos x="0" y="0"/>
          <wp:positionH relativeFrom="column">
            <wp:posOffset>200025</wp:posOffset>
          </wp:positionH>
          <wp:positionV relativeFrom="paragraph">
            <wp:posOffset>266700</wp:posOffset>
          </wp:positionV>
          <wp:extent cx="5615940" cy="495020"/>
          <wp:effectExtent l="0" t="0" r="381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4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23D"/>
    <w:multiLevelType w:val="multilevel"/>
    <w:tmpl w:val="6C0C6026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BED333D"/>
    <w:multiLevelType w:val="multilevel"/>
    <w:tmpl w:val="AC5AAB22"/>
    <w:lvl w:ilvl="0">
      <w:start w:val="1"/>
      <w:numFmt w:val="decimal"/>
      <w:lvlText w:val="%1."/>
      <w:lvlJc w:val="right"/>
      <w:pPr>
        <w:ind w:left="357" w:hanging="357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85C80"/>
    <w:multiLevelType w:val="multilevel"/>
    <w:tmpl w:val="BCE42BE4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F69688E"/>
    <w:multiLevelType w:val="multilevel"/>
    <w:tmpl w:val="D48C7D02"/>
    <w:lvl w:ilvl="0">
      <w:start w:val="3"/>
      <w:numFmt w:val="decimal"/>
      <w:lvlText w:val="%1."/>
      <w:lvlJc w:val="left"/>
      <w:pPr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0956514"/>
    <w:multiLevelType w:val="multilevel"/>
    <w:tmpl w:val="02E676AC"/>
    <w:lvl w:ilvl="0">
      <w:start w:val="1"/>
      <w:numFmt w:val="decimal"/>
      <w:lvlText w:val="%1."/>
      <w:lvlJc w:val="left"/>
      <w:pPr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A143FB"/>
    <w:multiLevelType w:val="multilevel"/>
    <w:tmpl w:val="7E142ADA"/>
    <w:lvl w:ilvl="0">
      <w:start w:val="1"/>
      <w:numFmt w:val="decimal"/>
      <w:lvlText w:val="%1."/>
      <w:lvlJc w:val="left"/>
      <w:pPr>
        <w:ind w:left="357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7C30AD"/>
    <w:multiLevelType w:val="multilevel"/>
    <w:tmpl w:val="4CCCB7E6"/>
    <w:lvl w:ilvl="0">
      <w:start w:val="1"/>
      <w:numFmt w:val="lowerLetter"/>
      <w:lvlText w:val="%1)"/>
      <w:lvlJc w:val="left"/>
      <w:pPr>
        <w:ind w:left="714" w:hanging="357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9A42FB"/>
    <w:multiLevelType w:val="multilevel"/>
    <w:tmpl w:val="CC3E1D7C"/>
    <w:lvl w:ilvl="0">
      <w:start w:val="1"/>
      <w:numFmt w:val="decimal"/>
      <w:lvlText w:val="%1."/>
      <w:lvlJc w:val="right"/>
      <w:pPr>
        <w:ind w:left="357" w:hanging="357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7E4583"/>
    <w:multiLevelType w:val="multilevel"/>
    <w:tmpl w:val="E3365250"/>
    <w:lvl w:ilvl="0">
      <w:start w:val="1"/>
      <w:numFmt w:val="decimal"/>
      <w:lvlText w:val="%1."/>
      <w:lvlJc w:val="right"/>
      <w:pPr>
        <w:ind w:left="357" w:hanging="357"/>
      </w:pPr>
      <w:rPr>
        <w:rFonts w:ascii="Calibri" w:eastAsia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DF0D22"/>
    <w:multiLevelType w:val="multilevel"/>
    <w:tmpl w:val="209EBF74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F73AE1"/>
    <w:multiLevelType w:val="multilevel"/>
    <w:tmpl w:val="0DC23B62"/>
    <w:lvl w:ilvl="0">
      <w:start w:val="1"/>
      <w:numFmt w:val="bullet"/>
      <w:lvlText w:val="-"/>
      <w:lvlJc w:val="left"/>
      <w:pPr>
        <w:ind w:left="1071" w:hanging="357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557563"/>
    <w:multiLevelType w:val="multilevel"/>
    <w:tmpl w:val="69A6A6A0"/>
    <w:lvl w:ilvl="0">
      <w:start w:val="1"/>
      <w:numFmt w:val="decimal"/>
      <w:lvlText w:val="%1."/>
      <w:lvlJc w:val="right"/>
      <w:pPr>
        <w:ind w:left="357" w:hanging="357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B73800"/>
    <w:multiLevelType w:val="multilevel"/>
    <w:tmpl w:val="31FC0E96"/>
    <w:lvl w:ilvl="0">
      <w:start w:val="1"/>
      <w:numFmt w:val="lowerLetter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72E1B"/>
    <w:multiLevelType w:val="multilevel"/>
    <w:tmpl w:val="10B69A94"/>
    <w:lvl w:ilvl="0">
      <w:start w:val="1"/>
      <w:numFmt w:val="decimal"/>
      <w:lvlText w:val="%1."/>
      <w:lvlJc w:val="right"/>
      <w:pPr>
        <w:ind w:left="357" w:hanging="357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-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C603C3"/>
    <w:multiLevelType w:val="multilevel"/>
    <w:tmpl w:val="08E2351A"/>
    <w:lvl w:ilvl="0">
      <w:start w:val="1"/>
      <w:numFmt w:val="lowerLetter"/>
      <w:lvlText w:val="%1)"/>
      <w:lvlJc w:val="left"/>
      <w:pPr>
        <w:ind w:left="714" w:hanging="357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9A"/>
    <w:rsid w:val="002E52C8"/>
    <w:rsid w:val="0031664E"/>
    <w:rsid w:val="0079729A"/>
    <w:rsid w:val="008B018A"/>
    <w:rsid w:val="00AB11ED"/>
    <w:rsid w:val="00D57C1E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544C8-D94D-467A-BFF9-5E7680F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F0"/>
    <w:rPr>
      <w:lang w:val="pt-PT" w:eastAsia="pt-PT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0254F0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4F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rsid w:val="000254F0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254F0"/>
    <w:rPr>
      <w:rFonts w:ascii="Calibri" w:eastAsia="Calibri" w:hAnsi="Calibri"/>
    </w:rPr>
  </w:style>
  <w:style w:type="numbering" w:customStyle="1" w:styleId="Styl4">
    <w:name w:val="Styl4"/>
    <w:uiPriority w:val="99"/>
    <w:rsid w:val="000254F0"/>
  </w:style>
  <w:style w:type="character" w:styleId="Odwoaniedokomentarza">
    <w:name w:val="annotation reference"/>
    <w:basedOn w:val="Domylnaczcionkaakapitu"/>
    <w:rsid w:val="000254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54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54F0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kapitzlist">
    <w:name w:val="List Paragraph"/>
    <w:basedOn w:val="Normalny"/>
    <w:link w:val="AkapitzlistZnak"/>
    <w:uiPriority w:val="34"/>
    <w:qFormat/>
    <w:rsid w:val="000254F0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0254F0"/>
    <w:rPr>
      <w:rFonts w:ascii="Calibri" w:eastAsia="Calibri" w:hAnsi="Calibri" w:cs="Times New Roman"/>
    </w:rPr>
  </w:style>
  <w:style w:type="numbering" w:customStyle="1" w:styleId="Styl5">
    <w:name w:val="Styl5"/>
    <w:uiPriority w:val="99"/>
    <w:rsid w:val="000254F0"/>
  </w:style>
  <w:style w:type="character" w:customStyle="1" w:styleId="AkapitzlistZnak">
    <w:name w:val="Akapit z listą Znak"/>
    <w:link w:val="Akapitzlist"/>
    <w:uiPriority w:val="34"/>
    <w:locked/>
    <w:rsid w:val="000254F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F0"/>
    <w:rPr>
      <w:rFonts w:ascii="Segoe UI" w:eastAsia="Times New Roman" w:hAnsi="Segoe UI" w:cs="Segoe UI"/>
      <w:sz w:val="18"/>
      <w:szCs w:val="18"/>
      <w:lang w:val="pt-PT" w:eastAsia="pt-PT"/>
    </w:rPr>
  </w:style>
  <w:style w:type="numbering" w:customStyle="1" w:styleId="Styl2">
    <w:name w:val="Styl2"/>
    <w:uiPriority w:val="99"/>
    <w:rsid w:val="000254F0"/>
  </w:style>
  <w:style w:type="table" w:styleId="Tabela-Siatka">
    <w:name w:val="Table Grid"/>
    <w:basedOn w:val="Standardowy"/>
    <w:uiPriority w:val="39"/>
    <w:rsid w:val="000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4F0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paragraph" w:styleId="Stopka">
    <w:name w:val="footer"/>
    <w:basedOn w:val="Normalny"/>
    <w:link w:val="StopkaZnak"/>
    <w:uiPriority w:val="99"/>
    <w:unhideWhenUsed/>
    <w:rsid w:val="00BF61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197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268"/>
    <w:pPr>
      <w:suppressAutoHyphens/>
    </w:pPr>
    <w:rPr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2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268"/>
    <w:rPr>
      <w:vertAlign w:val="superscript"/>
    </w:rPr>
  </w:style>
  <w:style w:type="paragraph" w:customStyle="1" w:styleId="Bezodstpw1">
    <w:name w:val="Bez odstępów1"/>
    <w:uiPriority w:val="1"/>
    <w:qFormat/>
    <w:rsid w:val="00BF4BA3"/>
    <w:rPr>
      <w:rFonts w:ascii="Calibri" w:eastAsia="Calibri" w:hAnsi="Calibri"/>
    </w:rPr>
  </w:style>
  <w:style w:type="paragraph" w:customStyle="1" w:styleId="Default">
    <w:name w:val="Default"/>
    <w:rsid w:val="005242E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rsid w:val="0081663F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bOeEcuJt0z531hRpbtUo0nWdQ==">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Suligowska</dc:creator>
  <cp:lastModifiedBy>IBE_MA</cp:lastModifiedBy>
  <cp:revision>2</cp:revision>
  <dcterms:created xsi:type="dcterms:W3CDTF">2022-08-22T12:47:00Z</dcterms:created>
  <dcterms:modified xsi:type="dcterms:W3CDTF">2022-08-22T12:47:00Z</dcterms:modified>
</cp:coreProperties>
</file>